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Investors Guild Report — LT Social Universe (Beta)</w:t>
      </w:r>
    </w:p>
    <w:p>
      <w:pPr>
        <w:jc w:val="center"/>
      </w:pPr>
      <w:r>
        <w:rPr>
          <w:sz w:val="24"/>
        </w:rPr>
        <w:t>LTSocial.net + LoveTranscendsReality.org</w:t>
        <w:br/>
        <w:t>(Informational; not an offer to sell securities)</w:t>
      </w:r>
    </w:p>
    <w:p>
      <w:r>
        <w:t>Prepared: 2026-01-30</w:t>
      </w:r>
    </w:p>
    <w:p/>
    <w:p>
      <w:pPr>
        <w:pStyle w:val="Heading1"/>
      </w:pPr>
      <w:r>
        <w:t>1) Thesis</w:t>
      </w:r>
    </w:p>
    <w:p>
      <w:r>
        <w:t>LTSocial is a tech-first safe social universe combining tiered feeds, streaming, events, marketplace commerce, and a wallet-enabled settlement layer. The defensible advantage is enforceable policy: access control, payouts, and safety workflows are primitives, not bolt-ons.</w:t>
      </w:r>
    </w:p>
    <w:p>
      <w:pPr>
        <w:pStyle w:val="Heading1"/>
      </w:pPr>
      <w:r>
        <w:t>2) Product moat (what’s hard to copy)</w:t>
      </w:r>
    </w:p>
    <w:p>
      <w:pPr>
        <w:pStyle w:val="ListBullet"/>
      </w:pPr>
      <w:r>
        <w:t>5-feed visibility model (Public → Fanship → Friends → Inner Circle → Creator Rooms) implemented as server-authoritative access control.</w:t>
      </w:r>
    </w:p>
    <w:p>
      <w:pPr>
        <w:pStyle w:val="ListBullet"/>
      </w:pPr>
      <w:r>
        <w:t>Events as first-class objects (Calendar + Tickets + feed + chat distribution).</w:t>
      </w:r>
    </w:p>
    <w:p>
      <w:pPr>
        <w:pStyle w:val="ListBullet"/>
      </w:pPr>
      <w:r>
        <w:t>Safety layer: AI Guardian Hub + reporting + escalation + household controls.</w:t>
      </w:r>
    </w:p>
    <w:p>
      <w:pPr>
        <w:pStyle w:val="ListBullet"/>
      </w:pPr>
      <w:r>
        <w:t>Wallet settlement with transparent ledgers + twice-daily withdrawal windows.</w:t>
      </w:r>
    </w:p>
    <w:p>
      <w:pPr>
        <w:pStyle w:val="Heading1"/>
      </w:pPr>
      <w:r>
        <w:t>3) Pricing ladder (public beta)</w:t>
      </w:r>
    </w:p>
    <w:p>
      <w:pPr>
        <w:pStyle w:val="ListBullet"/>
      </w:pPr>
      <w:r>
        <w:t>SelfCelebrity $50 (Most Popular), 4Family $100 (Family Safe), Miner $250, Pearl $350, Jasper $500, 4Family Plus TBA.</w:t>
      </w:r>
    </w:p>
    <w:p>
      <w:pPr>
        <w:pStyle w:val="ListBullet"/>
      </w:pPr>
      <w:r>
        <w:t>Split labels are standardized as Creator Share / User Rewards / Platform (configurable by plan &amp; surface).</w:t>
      </w:r>
    </w:p>
    <w:p>
      <w:pPr>
        <w:pStyle w:val="Heading1"/>
      </w:pPr>
      <w:r>
        <w:t>4) Cash-out &amp; conversion policy (reduces custody complexity)</w:t>
      </w:r>
    </w:p>
    <w:p>
      <w:pPr>
        <w:pStyle w:val="ListBullet"/>
      </w:pPr>
      <w:r>
        <w:t>Bank conversion is off-app only: in-app → network wallet → external rails → USD bank → cash.</w:t>
      </w:r>
    </w:p>
    <w:p>
      <w:pPr>
        <w:pStyle w:val="ListBullet"/>
      </w:pPr>
      <w:r>
        <w:t>During Beta, Reality Coin → USD bank conversion retains 75% to the platform and pays 25% to the user.</w:t>
      </w:r>
    </w:p>
    <w:p>
      <w:pPr>
        <w:pStyle w:val="ListBullet"/>
      </w:pPr>
      <w:r>
        <w:t>After Beta + official launch, the conversion split becomes 25% platform / 75% user.</w:t>
      </w:r>
    </w:p>
    <w:p>
      <w:pPr>
        <w:pStyle w:val="ListBullet"/>
      </w:pPr>
      <w:r>
        <w:t>Wallet withdrawals process in two settlement windows daily (morning + night).</w:t>
      </w:r>
    </w:p>
    <w:p>
      <w:pPr>
        <w:pStyle w:val="Heading1"/>
      </w:pPr>
      <w:r>
        <w:t>5) 10-year base case (illustrative)</w:t>
      </w:r>
    </w:p>
    <w:p>
      <w:r>
        <w:drawing>
          <wp:inline xmlns:a="http://schemas.openxmlformats.org/drawingml/2006/main" xmlns:pic="http://schemas.openxmlformats.org/drawingml/2006/picture">
            <wp:extent cx="5669280" cy="36047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_10yr_Trajectory_20260130_10361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04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Illustrative net revenue + EBITDA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Year</w:t>
            </w:r>
          </w:p>
        </w:tc>
        <w:tc>
          <w:tcPr>
            <w:tcW w:type="dxa" w:w="1728"/>
          </w:tcPr>
          <w:p>
            <w:r>
              <w:t>Avg MAU</w:t>
            </w:r>
          </w:p>
        </w:tc>
        <w:tc>
          <w:tcPr>
            <w:tcW w:type="dxa" w:w="1728"/>
          </w:tcPr>
          <w:p>
            <w:r>
              <w:t>Paying Users</w:t>
            </w:r>
          </w:p>
        </w:tc>
        <w:tc>
          <w:tcPr>
            <w:tcW w:type="dxa" w:w="1728"/>
          </w:tcPr>
          <w:p>
            <w:r>
              <w:t>Total Net Rev ($M)</w:t>
            </w:r>
          </w:p>
        </w:tc>
        <w:tc>
          <w:tcPr>
            <w:tcW w:type="dxa" w:w="1728"/>
          </w:tcPr>
          <w:p>
            <w:r>
              <w:t>EBITDA ($M)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25000</w:t>
            </w:r>
          </w:p>
        </w:tc>
        <w:tc>
          <w:tcPr>
            <w:tcW w:type="dxa" w:w="1728"/>
          </w:tcPr>
          <w:p>
            <w:r>
              <w:t>250</w:t>
            </w:r>
          </w:p>
        </w:tc>
        <w:tc>
          <w:tcPr>
            <w:tcW w:type="dxa" w:w="1728"/>
          </w:tcPr>
          <w:p>
            <w:r>
              <w:t>0.41</w:t>
            </w:r>
          </w:p>
        </w:tc>
        <w:tc>
          <w:tcPr>
            <w:tcW w:type="dxa" w:w="1728"/>
          </w:tcPr>
          <w:p>
            <w:r>
              <w:t>-2.20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100000</w:t>
            </w:r>
          </w:p>
        </w:tc>
        <w:tc>
          <w:tcPr>
            <w:tcW w:type="dxa" w:w="1728"/>
          </w:tcPr>
          <w:p>
            <w:r>
              <w:t>1500</w:t>
            </w:r>
          </w:p>
        </w:tc>
        <w:tc>
          <w:tcPr>
            <w:tcW w:type="dxa" w:w="1728"/>
          </w:tcPr>
          <w:p>
            <w:r>
              <w:t>2.46</w:t>
            </w:r>
          </w:p>
        </w:tc>
        <w:tc>
          <w:tcPr>
            <w:tcW w:type="dxa" w:w="1728"/>
          </w:tcPr>
          <w:p>
            <w:r>
              <w:t>-2.66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300000</w:t>
            </w:r>
          </w:p>
        </w:tc>
        <w:tc>
          <w:tcPr>
            <w:tcW w:type="dxa" w:w="1728"/>
          </w:tcPr>
          <w:p>
            <w:r>
              <w:t>6000</w:t>
            </w:r>
          </w:p>
        </w:tc>
        <w:tc>
          <w:tcPr>
            <w:tcW w:type="dxa" w:w="1728"/>
          </w:tcPr>
          <w:p>
            <w:r>
              <w:t>9.44</w:t>
            </w:r>
          </w:p>
        </w:tc>
        <w:tc>
          <w:tcPr>
            <w:tcW w:type="dxa" w:w="1728"/>
          </w:tcPr>
          <w:p>
            <w:r>
              <w:t>-0.63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750000</w:t>
            </w:r>
          </w:p>
        </w:tc>
        <w:tc>
          <w:tcPr>
            <w:tcW w:type="dxa" w:w="1728"/>
          </w:tcPr>
          <w:p>
            <w:r>
              <w:t>18750</w:t>
            </w:r>
          </w:p>
        </w:tc>
        <w:tc>
          <w:tcPr>
            <w:tcW w:type="dxa" w:w="1728"/>
          </w:tcPr>
          <w:p>
            <w:r>
              <w:t>29.70</w:t>
            </w:r>
          </w:p>
        </w:tc>
        <w:tc>
          <w:tcPr>
            <w:tcW w:type="dxa" w:w="1728"/>
          </w:tcPr>
          <w:p>
            <w:r>
              <w:t>7.42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1500000</w:t>
            </w:r>
          </w:p>
        </w:tc>
        <w:tc>
          <w:tcPr>
            <w:tcW w:type="dxa" w:w="1728"/>
          </w:tcPr>
          <w:p>
            <w:r>
              <w:t>45000</w:t>
            </w:r>
          </w:p>
        </w:tc>
        <w:tc>
          <w:tcPr>
            <w:tcW w:type="dxa" w:w="1728"/>
          </w:tcPr>
          <w:p>
            <w:r>
              <w:t>71.17</w:t>
            </w:r>
          </w:p>
        </w:tc>
        <w:tc>
          <w:tcPr>
            <w:tcW w:type="dxa" w:w="1728"/>
          </w:tcPr>
          <w:p>
            <w:r>
              <w:t>26.33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3000000</w:t>
            </w:r>
          </w:p>
        </w:tc>
        <w:tc>
          <w:tcPr>
            <w:tcW w:type="dxa" w:w="1728"/>
          </w:tcPr>
          <w:p>
            <w:r>
              <w:t>96000</w:t>
            </w:r>
          </w:p>
        </w:tc>
        <w:tc>
          <w:tcPr>
            <w:tcW w:type="dxa" w:w="1728"/>
          </w:tcPr>
          <w:p>
            <w:r>
              <w:t>153.40</w:t>
            </w:r>
          </w:p>
        </w:tc>
        <w:tc>
          <w:tcPr>
            <w:tcW w:type="dxa" w:w="1728"/>
          </w:tcPr>
          <w:p>
            <w:r>
              <w:t>67.50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5000000</w:t>
            </w:r>
          </w:p>
        </w:tc>
        <w:tc>
          <w:tcPr>
            <w:tcW w:type="dxa" w:w="1728"/>
          </w:tcPr>
          <w:p>
            <w:r>
              <w:t>170000</w:t>
            </w:r>
          </w:p>
        </w:tc>
        <w:tc>
          <w:tcPr>
            <w:tcW w:type="dxa" w:w="1728"/>
          </w:tcPr>
          <w:p>
            <w:r>
              <w:t>275.29</w:t>
            </w:r>
          </w:p>
        </w:tc>
        <w:tc>
          <w:tcPr>
            <w:tcW w:type="dxa" w:w="1728"/>
          </w:tcPr>
          <w:p>
            <w:r>
              <w:t>134.89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8000000</w:t>
            </w:r>
          </w:p>
        </w:tc>
        <w:tc>
          <w:tcPr>
            <w:tcW w:type="dxa" w:w="1728"/>
          </w:tcPr>
          <w:p>
            <w:r>
              <w:t>288000</w:t>
            </w:r>
          </w:p>
        </w:tc>
        <w:tc>
          <w:tcPr>
            <w:tcW w:type="dxa" w:w="1728"/>
          </w:tcPr>
          <w:p>
            <w:r>
              <w:t>472.11</w:t>
            </w:r>
          </w:p>
        </w:tc>
        <w:tc>
          <w:tcPr>
            <w:tcW w:type="dxa" w:w="1728"/>
          </w:tcPr>
          <w:p>
            <w:r>
              <w:t>250.22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12000000</w:t>
            </w:r>
          </w:p>
        </w:tc>
        <w:tc>
          <w:tcPr>
            <w:tcW w:type="dxa" w:w="1728"/>
          </w:tcPr>
          <w:p>
            <w:r>
              <w:t>456000</w:t>
            </w:r>
          </w:p>
        </w:tc>
        <w:tc>
          <w:tcPr>
            <w:tcW w:type="dxa" w:w="1728"/>
          </w:tcPr>
          <w:p>
            <w:r>
              <w:t>755.63</w:t>
            </w:r>
          </w:p>
        </w:tc>
        <w:tc>
          <w:tcPr>
            <w:tcW w:type="dxa" w:w="1728"/>
          </w:tcPr>
          <w:p>
            <w:r>
              <w:t>430.71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18000000</w:t>
            </w:r>
          </w:p>
        </w:tc>
        <w:tc>
          <w:tcPr>
            <w:tcW w:type="dxa" w:w="1728"/>
          </w:tcPr>
          <w:p>
            <w:r>
              <w:t>720000</w:t>
            </w:r>
          </w:p>
        </w:tc>
        <w:tc>
          <w:tcPr>
            <w:tcW w:type="dxa" w:w="1728"/>
          </w:tcPr>
          <w:p>
            <w:r>
              <w:t>1,205.17</w:t>
            </w:r>
          </w:p>
        </w:tc>
        <w:tc>
          <w:tcPr>
            <w:tcW w:type="dxa" w:w="1728"/>
          </w:tcPr>
          <w:p>
            <w:r>
              <w:t>723.10</w:t>
            </w:r>
          </w:p>
        </w:tc>
      </w:tr>
    </w:tbl>
    <w:p>
      <w:pPr>
        <w:pStyle w:val="Heading1"/>
      </w:pPr>
      <w:r>
        <w:t>6) Milestones</w:t>
      </w:r>
    </w:p>
    <w:p>
      <w:pPr>
        <w:pStyle w:val="ListBullet"/>
      </w:pPr>
      <w:r>
        <w:t>Beta: ship web app shell + 5 feeds + Calendar/Location + wallet connect + twice-daily withdrawal UX + Guardian Hub SOPs.</w:t>
      </w:r>
    </w:p>
    <w:p>
      <w:pPr>
        <w:pStyle w:val="ListBullet"/>
      </w:pPr>
      <w:r>
        <w:t>Launch gate: 250 paying users or $1M gross receipts + policy versioning + audit logs.</w:t>
      </w:r>
    </w:p>
    <w:p>
      <w:pPr>
        <w:pStyle w:val="ListBullet"/>
      </w:pPr>
      <w:r>
        <w:t>Scale: deepen Creator Rooms, ticketing, commerce, and safety automation.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